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CA" w:rsidRPr="003A16CA" w:rsidRDefault="003A16CA" w:rsidP="003A16CA">
      <w:pPr>
        <w:numPr>
          <w:ilvl w:val="0"/>
          <w:numId w:val="1"/>
        </w:numPr>
        <w:shd w:val="clear" w:color="auto" w:fill="FFFFFF"/>
        <w:ind w:left="0"/>
        <w:rPr>
          <w:rFonts w:ascii="inherit" w:eastAsia="Times New Roman" w:hAnsi="inherit" w:cs="Helvetica"/>
          <w:b/>
          <w:bCs/>
          <w:caps/>
          <w:color w:val="222222"/>
          <w:sz w:val="36"/>
          <w:szCs w:val="36"/>
        </w:rPr>
      </w:pPr>
      <w:r w:rsidRPr="003A16CA">
        <w:rPr>
          <w:rFonts w:ascii="inherit" w:eastAsia="Times New Roman" w:hAnsi="inherit" w:cs="Helvetica"/>
          <w:b/>
          <w:bCs/>
          <w:caps/>
          <w:color w:val="222222"/>
          <w:sz w:val="36"/>
          <w:szCs w:val="36"/>
        </w:rPr>
        <w:fldChar w:fldCharType="begin"/>
      </w:r>
      <w:r w:rsidRPr="003A16CA">
        <w:rPr>
          <w:rFonts w:ascii="inherit" w:eastAsia="Times New Roman" w:hAnsi="inherit" w:cs="Helvetica"/>
          <w:b/>
          <w:bCs/>
          <w:caps/>
          <w:color w:val="222222"/>
          <w:sz w:val="36"/>
          <w:szCs w:val="36"/>
        </w:rPr>
        <w:instrText xml:space="preserve"> HYPERLINK "https://wire.ama-assn.org/life-career" </w:instrText>
      </w:r>
      <w:r w:rsidRPr="003A16CA">
        <w:rPr>
          <w:rFonts w:ascii="inherit" w:eastAsia="Times New Roman" w:hAnsi="inherit" w:cs="Helvetica"/>
          <w:b/>
          <w:bCs/>
          <w:caps/>
          <w:color w:val="222222"/>
          <w:sz w:val="36"/>
          <w:szCs w:val="36"/>
        </w:rPr>
        <w:fldChar w:fldCharType="separate"/>
      </w:r>
      <w:r w:rsidRPr="003A16CA">
        <w:rPr>
          <w:rFonts w:ascii="inherit" w:eastAsia="Times New Roman" w:hAnsi="inherit" w:cs="Helvetica"/>
          <w:b/>
          <w:bCs/>
          <w:caps/>
          <w:color w:val="02AAEC"/>
          <w:szCs w:val="24"/>
          <w:u w:val="single"/>
        </w:rPr>
        <w:t>LIFE &amp; CAREER</w:t>
      </w:r>
      <w:r w:rsidRPr="003A16CA">
        <w:rPr>
          <w:rFonts w:ascii="inherit" w:eastAsia="Times New Roman" w:hAnsi="inherit" w:cs="Helvetica"/>
          <w:b/>
          <w:bCs/>
          <w:caps/>
          <w:color w:val="222222"/>
          <w:sz w:val="36"/>
          <w:szCs w:val="36"/>
        </w:rPr>
        <w:fldChar w:fldCharType="end"/>
      </w:r>
    </w:p>
    <w:p w:rsidR="003A16CA" w:rsidRPr="003A16CA" w:rsidRDefault="003A16CA" w:rsidP="003A16CA">
      <w:pPr>
        <w:shd w:val="clear" w:color="auto" w:fill="FFFFFF"/>
        <w:spacing w:line="750" w:lineRule="atLeast"/>
        <w:outlineLvl w:val="1"/>
        <w:rPr>
          <w:rFonts w:ascii="Georgia" w:eastAsia="Times New Roman" w:hAnsi="Georgia" w:cs="Helvetica"/>
          <w:color w:val="222222"/>
          <w:sz w:val="69"/>
          <w:szCs w:val="69"/>
        </w:rPr>
      </w:pPr>
      <w:r w:rsidRPr="003A16CA">
        <w:rPr>
          <w:rFonts w:ascii="Georgia" w:eastAsia="Times New Roman" w:hAnsi="Georgia" w:cs="Helvetica"/>
          <w:color w:val="222222"/>
          <w:sz w:val="69"/>
          <w:szCs w:val="69"/>
        </w:rPr>
        <w:t>Cleveland Clinic’s approach to burnout focuses on relationships</w:t>
      </w:r>
    </w:p>
    <w:p w:rsidR="003A16CA" w:rsidRPr="003A16CA" w:rsidRDefault="003A16CA" w:rsidP="003A16CA">
      <w:pPr>
        <w:shd w:val="clear" w:color="auto" w:fill="FFFFFF"/>
        <w:spacing w:line="375" w:lineRule="atLeast"/>
        <w:rPr>
          <w:rFonts w:ascii="Helvetica" w:eastAsia="Times New Roman" w:hAnsi="Helvetica" w:cs="Helvetica"/>
          <w:b/>
          <w:bCs/>
          <w:caps/>
          <w:color w:val="222222"/>
          <w:sz w:val="27"/>
          <w:szCs w:val="27"/>
        </w:rPr>
      </w:pPr>
      <w:r w:rsidRPr="003A16CA">
        <w:rPr>
          <w:rFonts w:ascii="Helvetica" w:eastAsia="Times New Roman" w:hAnsi="Helvetica" w:cs="Helvetica"/>
          <w:b/>
          <w:bCs/>
          <w:caps/>
          <w:color w:val="222222"/>
          <w:sz w:val="27"/>
          <w:szCs w:val="27"/>
        </w:rPr>
        <w:t>DEC 07, 2016</w:t>
      </w:r>
    </w:p>
    <w:p w:rsidR="003A16CA" w:rsidRPr="003A16CA" w:rsidRDefault="003A16CA" w:rsidP="003A16CA">
      <w:pPr>
        <w:shd w:val="clear" w:color="auto" w:fill="FFFFFF"/>
        <w:rPr>
          <w:rFonts w:ascii="Helvetica" w:eastAsia="Times New Roman" w:hAnsi="Helvetica" w:cs="Helvetica"/>
          <w:color w:val="A1A1A4"/>
          <w:sz w:val="30"/>
          <w:szCs w:val="30"/>
        </w:rPr>
      </w:pPr>
      <w:r w:rsidRPr="003A16CA">
        <w:rPr>
          <w:rFonts w:ascii="Helvetica" w:eastAsia="Times New Roman" w:hAnsi="Helvetica" w:cs="Helvetica"/>
          <w:noProof/>
          <w:color w:val="000000"/>
          <w:sz w:val="30"/>
          <w:szCs w:val="30"/>
        </w:rPr>
        <w:drawing>
          <wp:inline distT="0" distB="0" distL="0" distR="0">
            <wp:extent cx="1190625" cy="1190625"/>
            <wp:effectExtent l="0" t="0" r="9525" b="9525"/>
            <wp:docPr id="1" name="Picture 1" descr="Troy Par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3A16CA" w:rsidRPr="003A16CA" w:rsidRDefault="003A16CA" w:rsidP="003A16CA">
      <w:pPr>
        <w:shd w:val="clear" w:color="auto" w:fill="FFFFFF"/>
        <w:rPr>
          <w:rFonts w:ascii="Helvetica" w:eastAsia="Times New Roman" w:hAnsi="Helvetica" w:cs="Helvetica"/>
          <w:color w:val="A1A1A4"/>
          <w:sz w:val="30"/>
          <w:szCs w:val="30"/>
        </w:rPr>
      </w:pPr>
      <w:hyperlink r:id="rId7" w:anchor="profile-main" w:history="1">
        <w:r w:rsidRPr="003A16CA">
          <w:rPr>
            <w:rFonts w:ascii="Helvetica" w:eastAsia="Times New Roman" w:hAnsi="Helvetica" w:cs="Helvetica"/>
            <w:color w:val="000000"/>
            <w:sz w:val="30"/>
            <w:szCs w:val="30"/>
            <w:u w:val="single"/>
          </w:rPr>
          <w:t>Troy Parks</w:t>
        </w:r>
      </w:hyperlink>
    </w:p>
    <w:p w:rsidR="003A16CA" w:rsidRPr="003A16CA" w:rsidRDefault="003A16CA" w:rsidP="003A16CA">
      <w:pPr>
        <w:shd w:val="clear" w:color="auto" w:fill="FFFFFF"/>
        <w:rPr>
          <w:rFonts w:ascii="Helvetica" w:eastAsia="Times New Roman" w:hAnsi="Helvetica" w:cs="Helvetica"/>
          <w:color w:val="A1A1A4"/>
          <w:sz w:val="30"/>
          <w:szCs w:val="30"/>
        </w:rPr>
      </w:pPr>
      <w:r w:rsidRPr="003A16CA">
        <w:rPr>
          <w:rFonts w:ascii="Helvetica" w:eastAsia="Times New Roman" w:hAnsi="Helvetica" w:cs="Helvetica"/>
          <w:color w:val="A1A1A4"/>
          <w:sz w:val="30"/>
          <w:szCs w:val="30"/>
        </w:rPr>
        <w:t>Staff Writer</w:t>
      </w:r>
    </w:p>
    <w:p w:rsidR="003A16CA" w:rsidRPr="003A16CA" w:rsidRDefault="003A16CA" w:rsidP="003A16CA">
      <w:pPr>
        <w:shd w:val="clear" w:color="auto" w:fill="FFFFFF"/>
        <w:rPr>
          <w:rFonts w:ascii="Helvetica" w:eastAsia="Times New Roman" w:hAnsi="Helvetica" w:cs="Helvetica"/>
          <w:color w:val="A1A1A4"/>
          <w:sz w:val="30"/>
          <w:szCs w:val="30"/>
        </w:rPr>
      </w:pPr>
      <w:r w:rsidRPr="003A16CA">
        <w:rPr>
          <w:rFonts w:ascii="Helvetica" w:eastAsia="Times New Roman" w:hAnsi="Helvetica" w:cs="Helvetica"/>
          <w:color w:val="A1A1A4"/>
          <w:sz w:val="30"/>
          <w:szCs w:val="30"/>
        </w:rPr>
        <w:t>AMA Wire</w:t>
      </w:r>
    </w:p>
    <w:p w:rsidR="003A16CA" w:rsidRPr="003A16CA" w:rsidRDefault="003A16CA" w:rsidP="003A16CA">
      <w:pPr>
        <w:shd w:val="clear" w:color="auto" w:fill="FFFFFF"/>
        <w:spacing w:line="375" w:lineRule="atLeast"/>
        <w:rPr>
          <w:rFonts w:ascii="Helvetica" w:eastAsia="Times New Roman" w:hAnsi="Helvetica" w:cs="Helvetica"/>
          <w:color w:val="A1A1A4"/>
          <w:sz w:val="27"/>
          <w:szCs w:val="27"/>
        </w:rPr>
      </w:pPr>
      <w:hyperlink r:id="rId8" w:tgtFrame="_blank" w:history="1">
        <w:r w:rsidRPr="003A16CA">
          <w:rPr>
            <w:rFonts w:ascii="Helvetica" w:eastAsia="Times New Roman" w:hAnsi="Helvetica" w:cs="Helvetica"/>
            <w:color w:val="02AAEC"/>
            <w:sz w:val="27"/>
            <w:szCs w:val="27"/>
            <w:u w:val="single"/>
          </w:rPr>
          <w:t>@</w:t>
        </w:r>
        <w:proofErr w:type="spellStart"/>
        <w:r w:rsidRPr="003A16CA">
          <w:rPr>
            <w:rFonts w:ascii="Helvetica" w:eastAsia="Times New Roman" w:hAnsi="Helvetica" w:cs="Helvetica"/>
            <w:color w:val="02AAEC"/>
            <w:sz w:val="27"/>
            <w:szCs w:val="27"/>
            <w:u w:val="single"/>
          </w:rPr>
          <w:t>Troy_AMAWire</w:t>
        </w:r>
        <w:proofErr w:type="spellEnd"/>
      </w:hyperlink>
    </w:p>
    <w:p w:rsidR="003A16CA" w:rsidRPr="003A16CA" w:rsidRDefault="003A16CA" w:rsidP="003A16CA">
      <w:pPr>
        <w:shd w:val="clear" w:color="auto" w:fill="FFFFFF"/>
        <w:spacing w:line="315" w:lineRule="atLeast"/>
        <w:rPr>
          <w:rFonts w:ascii="Helvetica" w:eastAsia="Times New Roman" w:hAnsi="Helvetica" w:cs="Helvetica"/>
          <w:color w:val="222222"/>
          <w:sz w:val="21"/>
          <w:szCs w:val="21"/>
        </w:rPr>
      </w:pPr>
      <w:r w:rsidRPr="003A16CA">
        <w:rPr>
          <w:rFonts w:ascii="Helvetica" w:eastAsia="Times New Roman" w:hAnsi="Helvetica" w:cs="Helvetica"/>
          <w:color w:val="222222"/>
          <w:sz w:val="21"/>
          <w:szCs w:val="21"/>
        </w:rPr>
        <w:t>Share this article</w:t>
      </w:r>
    </w:p>
    <w:p w:rsidR="003A16CA" w:rsidRPr="003A16CA" w:rsidRDefault="003A16CA" w:rsidP="003A16CA">
      <w:pPr>
        <w:shd w:val="clear" w:color="auto" w:fill="FFFFFF"/>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   </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You can try, but it’s not easy to find a physician who wants to add another commitment to an already busy schedule. At the Cleveland Clinic, a one-time training session in relationship-centered communication skills improved patient satisfaction scores, physician empathy and self-efficacy, and reduced physician burnout through three simple phases.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The training, “Relationship: Establishment, Development and Engagement” (REDE), took place over one eight-hour session, comprised of interactive didactics, live or video skill demonstrations and group practice sessions.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 xml:space="preserve">More than 1,500 of the 3,220 physicians at the Cleveland Clinic participated in REDE, offered by the health system’s Center for </w:t>
      </w:r>
      <w:r w:rsidRPr="003A16CA">
        <w:rPr>
          <w:rFonts w:ascii="Helvetica" w:eastAsia="Times New Roman" w:hAnsi="Helvetica" w:cs="Helvetica"/>
          <w:color w:val="222222"/>
          <w:sz w:val="30"/>
          <w:szCs w:val="30"/>
        </w:rPr>
        <w:lastRenderedPageBreak/>
        <w:t>Excellence in Healthcare Communication. Before taking the course, only 20 percent of physicians “strongly agreed” that it would be a valuable use of their time. But after completing the course, 58 percent “strongly agreed” that it was valuable to their daily practice.</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The Centers for Medicare and Medicaid Services (CMS) requires that physicians publicly report patient experience scores in the Hospital Consumer Assessment of Healthcare Providers and Systems (HCAHPS) for inpatient care. And for outpatient care, they are required to report patient experiences in the Clinician and Group Consumer Assessment of Healthcare Providers and Systems (CGCAHPS).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Because physicians want patients to be satisfied with their care, and because HCAHPS and CGCAHPS scores are required for payment, physician practices and hospitals are looking to improve those scores every chance they get—yet there are not many proven methods available.</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The Cleveland Clinic's approach, with the REDE model, that focuses on improving patient-physician communication and the theory appears to be paying off. For participating physicians, CGCAHPS scores were a little bit higher, specifically on the survey items for “Conveyed clear information” and “Knows patient’s medical history.” HCAHPS scores were also higher for physicians who took the REDE training, particularly in the category of respect for patients.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Considering physician wellness, physicians reported increased self-efficacy across 13 domains and scores on all three domains of burnout—exhaustion, depersonalization and personal achievement, according to </w:t>
      </w:r>
      <w:hyperlink r:id="rId9" w:tgtFrame="_blank" w:history="1">
        <w:r w:rsidRPr="003A16CA">
          <w:rPr>
            <w:rFonts w:ascii="Helvetica" w:eastAsia="Times New Roman" w:hAnsi="Helvetica" w:cs="Helvetica"/>
            <w:color w:val="02AAEC"/>
            <w:sz w:val="30"/>
            <w:szCs w:val="30"/>
            <w:u w:val="single"/>
          </w:rPr>
          <w:t>results published earlier</w:t>
        </w:r>
      </w:hyperlink>
      <w:r w:rsidRPr="003A16CA">
        <w:rPr>
          <w:rFonts w:ascii="Helvetica" w:eastAsia="Times New Roman" w:hAnsi="Helvetica" w:cs="Helvetica"/>
          <w:color w:val="222222"/>
          <w:sz w:val="30"/>
          <w:szCs w:val="30"/>
        </w:rPr>
        <w:t> this year in the </w:t>
      </w:r>
      <w:r w:rsidRPr="003A16CA">
        <w:rPr>
          <w:rFonts w:ascii="Helvetica" w:eastAsia="Times New Roman" w:hAnsi="Helvetica" w:cs="Helvetica"/>
          <w:i/>
          <w:iCs/>
          <w:color w:val="222222"/>
          <w:sz w:val="30"/>
          <w:szCs w:val="30"/>
        </w:rPr>
        <w:t>Journal of General Internal Medicine</w:t>
      </w:r>
      <w:r w:rsidRPr="003A16CA">
        <w:rPr>
          <w:rFonts w:ascii="Helvetica" w:eastAsia="Times New Roman" w:hAnsi="Helvetica" w:cs="Helvetica"/>
          <w:color w:val="222222"/>
          <w:sz w:val="30"/>
          <w:szCs w:val="30"/>
        </w:rPr>
        <w:t xml:space="preserve">. When the participating physicians were </w:t>
      </w:r>
      <w:r w:rsidRPr="003A16CA">
        <w:rPr>
          <w:rFonts w:ascii="Helvetica" w:eastAsia="Times New Roman" w:hAnsi="Helvetica" w:cs="Helvetica"/>
          <w:color w:val="222222"/>
          <w:sz w:val="30"/>
          <w:szCs w:val="30"/>
        </w:rPr>
        <w:lastRenderedPageBreak/>
        <w:t>checked up on three months after the program, improvements in all measures except emotional exhaustion were sustained.</w:t>
      </w:r>
    </w:p>
    <w:p w:rsidR="003A16CA" w:rsidRPr="003A16CA" w:rsidRDefault="003A16CA" w:rsidP="003A16CA">
      <w:pPr>
        <w:shd w:val="clear" w:color="auto" w:fill="FFFFFF"/>
        <w:spacing w:line="570" w:lineRule="atLeast"/>
        <w:outlineLvl w:val="2"/>
        <w:rPr>
          <w:rFonts w:ascii="Georgia" w:eastAsia="Times New Roman" w:hAnsi="Georgia" w:cs="Helvetica"/>
          <w:color w:val="222222"/>
          <w:sz w:val="51"/>
          <w:szCs w:val="51"/>
        </w:rPr>
      </w:pPr>
      <w:r w:rsidRPr="003A16CA">
        <w:rPr>
          <w:rFonts w:ascii="Georgia" w:eastAsia="Times New Roman" w:hAnsi="Georgia" w:cs="Helvetica"/>
          <w:color w:val="222222"/>
          <w:sz w:val="51"/>
          <w:szCs w:val="51"/>
        </w:rPr>
        <w:t>How REDE works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Physicians know that the better relationship they have with their patients, the more able they are to treat their patients’ illnesses and keep their patients healthy. That’s why the REDE model is a framework for teaching and evaluating relationship-centered communication.</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The training organizes a collection of validated communication skills into three primary phases: establishment, development and engagement.</w:t>
      </w:r>
    </w:p>
    <w:p w:rsidR="003A16CA" w:rsidRPr="003A16CA" w:rsidRDefault="003A16CA" w:rsidP="003A16CA">
      <w:pPr>
        <w:shd w:val="clear" w:color="auto" w:fill="FFFFFF"/>
        <w:spacing w:line="570" w:lineRule="atLeast"/>
        <w:outlineLvl w:val="2"/>
        <w:rPr>
          <w:rFonts w:ascii="Georgia" w:eastAsia="Times New Roman" w:hAnsi="Georgia" w:cs="Helvetica"/>
          <w:color w:val="222222"/>
          <w:sz w:val="51"/>
          <w:szCs w:val="51"/>
        </w:rPr>
      </w:pPr>
      <w:r w:rsidRPr="003A16CA">
        <w:rPr>
          <w:rFonts w:ascii="Georgia" w:eastAsia="Times New Roman" w:hAnsi="Georgia" w:cs="Helvetica"/>
          <w:color w:val="222222"/>
          <w:sz w:val="51"/>
          <w:szCs w:val="51"/>
        </w:rPr>
        <w:t>Establish the relationship</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Making a personal connection with a patient involves creating a safe and supportive atmosphere that allows the physician and their patient to foster trust and collaboration. One of the techniques the model employs is the “emotion bank account,” as detailed in a </w:t>
      </w:r>
      <w:hyperlink r:id="rId10" w:tgtFrame="_blank" w:history="1">
        <w:r w:rsidRPr="003A16CA">
          <w:rPr>
            <w:rFonts w:ascii="Helvetica" w:eastAsia="Times New Roman" w:hAnsi="Helvetica" w:cs="Helvetica"/>
            <w:color w:val="02AAEC"/>
            <w:sz w:val="30"/>
            <w:szCs w:val="30"/>
            <w:u w:val="single"/>
          </w:rPr>
          <w:t>2014 article</w:t>
        </w:r>
      </w:hyperlink>
      <w:r w:rsidRPr="003A16CA">
        <w:rPr>
          <w:rFonts w:ascii="Helvetica" w:eastAsia="Times New Roman" w:hAnsi="Helvetica" w:cs="Helvetica"/>
          <w:color w:val="222222"/>
          <w:sz w:val="30"/>
          <w:szCs w:val="30"/>
        </w:rPr>
        <w:t> published in the </w:t>
      </w:r>
      <w:r w:rsidRPr="003A16CA">
        <w:rPr>
          <w:rFonts w:ascii="Helvetica" w:eastAsia="Times New Roman" w:hAnsi="Helvetica" w:cs="Helvetica"/>
          <w:i/>
          <w:iCs/>
          <w:color w:val="222222"/>
          <w:sz w:val="30"/>
          <w:szCs w:val="30"/>
        </w:rPr>
        <w:t>Journal of Patient Experience</w:t>
      </w:r>
      <w:r w:rsidRPr="003A16CA">
        <w:rPr>
          <w:rFonts w:ascii="Helvetica" w:eastAsia="Times New Roman" w:hAnsi="Helvetica" w:cs="Helvetica"/>
          <w:color w:val="222222"/>
          <w:sz w:val="30"/>
          <w:szCs w:val="30"/>
        </w:rPr>
        <w:t>. Each time an emotional connection is made, physicians can think of it as a deposit in the emotion account with that patient. As the account builds, the relationship becomes more sustainable.</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When a patient has to wait to see their physician, this is considered a withdrawal, but if the account has been built up then this withdrawal does not send it into the red.</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 xml:space="preserve">In this first phase, physicians are taught to collaborate with their patient on setting the agenda for the visit. This technique makes sure </w:t>
      </w:r>
      <w:r w:rsidRPr="003A16CA">
        <w:rPr>
          <w:rFonts w:ascii="Helvetica" w:eastAsia="Times New Roman" w:hAnsi="Helvetica" w:cs="Helvetica"/>
          <w:color w:val="222222"/>
          <w:sz w:val="30"/>
          <w:szCs w:val="30"/>
        </w:rPr>
        <w:lastRenderedPageBreak/>
        <w:t>the patients feel involved in their health care and also helps physicians avoid presumptions about a patient’s specific concerns.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Introducing the computer is another technique that minimizes the distraction of the computer’s presence in the room. The current state of electronic health records (EHR) means that the computer must be present, and so explaining its purpose and how it will be used can set the patient at ease.</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Every opportunity to convey empathy is encouraged in this first phase of REDE. Physicians learn to better demonstrate empathy orally using the SAVE technique:</w:t>
      </w:r>
    </w:p>
    <w:p w:rsidR="003A16CA" w:rsidRPr="003A16CA" w:rsidRDefault="003A16CA" w:rsidP="003A16CA">
      <w:pPr>
        <w:numPr>
          <w:ilvl w:val="0"/>
          <w:numId w:val="2"/>
        </w:numPr>
        <w:shd w:val="clear" w:color="auto" w:fill="FFFFFF"/>
        <w:rPr>
          <w:rFonts w:ascii="inherit" w:eastAsia="Times New Roman" w:hAnsi="inherit" w:cs="Helvetica"/>
          <w:color w:val="222222"/>
          <w:sz w:val="30"/>
          <w:szCs w:val="30"/>
        </w:rPr>
      </w:pPr>
      <w:r w:rsidRPr="003A16CA">
        <w:rPr>
          <w:rFonts w:ascii="inherit" w:eastAsia="Times New Roman" w:hAnsi="inherit" w:cs="Helvetica"/>
          <w:color w:val="222222"/>
          <w:sz w:val="30"/>
          <w:szCs w:val="30"/>
        </w:rPr>
        <w:t>Support: “Let’s work together …”</w:t>
      </w:r>
    </w:p>
    <w:p w:rsidR="003A16CA" w:rsidRPr="003A16CA" w:rsidRDefault="003A16CA" w:rsidP="003A16CA">
      <w:pPr>
        <w:numPr>
          <w:ilvl w:val="0"/>
          <w:numId w:val="2"/>
        </w:numPr>
        <w:shd w:val="clear" w:color="auto" w:fill="FFFFFF"/>
        <w:rPr>
          <w:rFonts w:ascii="inherit" w:eastAsia="Times New Roman" w:hAnsi="inherit" w:cs="Helvetica"/>
          <w:color w:val="222222"/>
          <w:sz w:val="30"/>
          <w:szCs w:val="30"/>
        </w:rPr>
      </w:pPr>
      <w:r w:rsidRPr="003A16CA">
        <w:rPr>
          <w:rFonts w:ascii="inherit" w:eastAsia="Times New Roman" w:hAnsi="inherit" w:cs="Helvetica"/>
          <w:color w:val="222222"/>
          <w:sz w:val="30"/>
          <w:szCs w:val="30"/>
        </w:rPr>
        <w:t>Acknowledge: “This has been hard on you.”</w:t>
      </w:r>
    </w:p>
    <w:p w:rsidR="003A16CA" w:rsidRPr="003A16CA" w:rsidRDefault="003A16CA" w:rsidP="003A16CA">
      <w:pPr>
        <w:numPr>
          <w:ilvl w:val="0"/>
          <w:numId w:val="2"/>
        </w:numPr>
        <w:shd w:val="clear" w:color="auto" w:fill="FFFFFF"/>
        <w:rPr>
          <w:rFonts w:ascii="inherit" w:eastAsia="Times New Roman" w:hAnsi="inherit" w:cs="Helvetica"/>
          <w:color w:val="222222"/>
          <w:sz w:val="30"/>
          <w:szCs w:val="30"/>
        </w:rPr>
      </w:pPr>
      <w:r w:rsidRPr="003A16CA">
        <w:rPr>
          <w:rFonts w:ascii="inherit" w:eastAsia="Times New Roman" w:hAnsi="inherit" w:cs="Helvetica"/>
          <w:color w:val="222222"/>
          <w:sz w:val="30"/>
          <w:szCs w:val="30"/>
        </w:rPr>
        <w:t>Validate: “Most people would feel the way you do.”</w:t>
      </w:r>
    </w:p>
    <w:p w:rsidR="003A16CA" w:rsidRPr="003A16CA" w:rsidRDefault="003A16CA" w:rsidP="003A16CA">
      <w:pPr>
        <w:numPr>
          <w:ilvl w:val="0"/>
          <w:numId w:val="2"/>
        </w:numPr>
        <w:shd w:val="clear" w:color="auto" w:fill="FFFFFF"/>
        <w:rPr>
          <w:rFonts w:ascii="inherit" w:eastAsia="Times New Roman" w:hAnsi="inherit" w:cs="Helvetica"/>
          <w:color w:val="222222"/>
          <w:sz w:val="30"/>
          <w:szCs w:val="30"/>
        </w:rPr>
      </w:pPr>
      <w:r w:rsidRPr="003A16CA">
        <w:rPr>
          <w:rFonts w:ascii="inherit" w:eastAsia="Times New Roman" w:hAnsi="inherit" w:cs="Helvetica"/>
          <w:color w:val="222222"/>
          <w:sz w:val="30"/>
          <w:szCs w:val="30"/>
        </w:rPr>
        <w:t>Emotion naming: “You seem sad.”</w:t>
      </w:r>
    </w:p>
    <w:p w:rsidR="003A16CA" w:rsidRPr="003A16CA" w:rsidRDefault="003A16CA" w:rsidP="003A16CA">
      <w:pPr>
        <w:shd w:val="clear" w:color="auto" w:fill="FFFFFF"/>
        <w:spacing w:line="570" w:lineRule="atLeast"/>
        <w:outlineLvl w:val="2"/>
        <w:rPr>
          <w:rFonts w:ascii="Georgia" w:eastAsia="Times New Roman" w:hAnsi="Georgia" w:cs="Helvetica"/>
          <w:color w:val="222222"/>
          <w:sz w:val="51"/>
          <w:szCs w:val="51"/>
        </w:rPr>
      </w:pPr>
      <w:r w:rsidRPr="003A16CA">
        <w:rPr>
          <w:rFonts w:ascii="Georgia" w:eastAsia="Times New Roman" w:hAnsi="Georgia" w:cs="Helvetica"/>
          <w:color w:val="222222"/>
          <w:sz w:val="51"/>
          <w:szCs w:val="51"/>
        </w:rPr>
        <w:t>Develop the relationship</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Once physicians learn how to establish a safer and more supportive environment, the next step is to grow the relationship by getting to know who the patient is and to understand symptoms in the correct context.</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Three techniques are emphasized in this phase:</w:t>
      </w:r>
    </w:p>
    <w:p w:rsidR="003A16CA" w:rsidRPr="003A16CA" w:rsidRDefault="003A16CA" w:rsidP="003A16CA">
      <w:pPr>
        <w:numPr>
          <w:ilvl w:val="0"/>
          <w:numId w:val="3"/>
        </w:numPr>
        <w:shd w:val="clear" w:color="auto" w:fill="FFFFFF"/>
        <w:rPr>
          <w:rFonts w:ascii="inherit" w:eastAsia="Times New Roman" w:hAnsi="inherit" w:cs="Helvetica"/>
          <w:color w:val="222222"/>
          <w:sz w:val="30"/>
          <w:szCs w:val="30"/>
        </w:rPr>
      </w:pPr>
      <w:r w:rsidRPr="003A16CA">
        <w:rPr>
          <w:rFonts w:ascii="inherit" w:eastAsia="Times New Roman" w:hAnsi="inherit" w:cs="Helvetica"/>
          <w:b/>
          <w:bCs/>
          <w:color w:val="222222"/>
          <w:sz w:val="30"/>
          <w:szCs w:val="30"/>
        </w:rPr>
        <w:t>Reflective listening:</w:t>
      </w:r>
      <w:r w:rsidRPr="003A16CA">
        <w:rPr>
          <w:rFonts w:ascii="inherit" w:eastAsia="Times New Roman" w:hAnsi="inherit" w:cs="Helvetica"/>
          <w:color w:val="222222"/>
          <w:sz w:val="30"/>
          <w:szCs w:val="30"/>
        </w:rPr>
        <w:t> This includes making direct eye contact, leaning forward, nodding and using verbal continuers such as “I see,” “Go on” or “Sounds like …” Physicians are encouraged to avoid expressing judgment, getting distracted or redirecting the patient, and to express appreciation for the patient’s sharing.</w:t>
      </w:r>
    </w:p>
    <w:p w:rsidR="003A16CA" w:rsidRPr="003A16CA" w:rsidRDefault="003A16CA" w:rsidP="003A16CA">
      <w:pPr>
        <w:numPr>
          <w:ilvl w:val="0"/>
          <w:numId w:val="3"/>
        </w:numPr>
        <w:shd w:val="clear" w:color="auto" w:fill="FFFFFF"/>
        <w:rPr>
          <w:rFonts w:ascii="inherit" w:eastAsia="Times New Roman" w:hAnsi="inherit" w:cs="Helvetica"/>
          <w:color w:val="222222"/>
          <w:sz w:val="30"/>
          <w:szCs w:val="30"/>
        </w:rPr>
      </w:pPr>
      <w:r w:rsidRPr="003A16CA">
        <w:rPr>
          <w:rFonts w:ascii="inherit" w:eastAsia="Times New Roman" w:hAnsi="inherit" w:cs="Helvetica"/>
          <w:b/>
          <w:bCs/>
          <w:color w:val="222222"/>
          <w:sz w:val="30"/>
          <w:szCs w:val="30"/>
        </w:rPr>
        <w:t>Bring out the patient’s narrative:</w:t>
      </w:r>
      <w:r w:rsidRPr="003A16CA">
        <w:rPr>
          <w:rFonts w:ascii="inherit" w:eastAsia="Times New Roman" w:hAnsi="inherit" w:cs="Helvetica"/>
          <w:color w:val="222222"/>
          <w:sz w:val="30"/>
          <w:szCs w:val="30"/>
        </w:rPr>
        <w:t xml:space="preserve"> The best way to do this is to use transition statements to orient the patient to the history of their current illness. Open-ended questions can initiate this conversation and </w:t>
      </w:r>
      <w:r w:rsidRPr="003A16CA">
        <w:rPr>
          <w:rFonts w:ascii="inherit" w:eastAsia="Times New Roman" w:hAnsi="inherit" w:cs="Helvetica"/>
          <w:color w:val="222222"/>
          <w:sz w:val="30"/>
          <w:szCs w:val="30"/>
        </w:rPr>
        <w:lastRenderedPageBreak/>
        <w:t>continuers such as “Tell me more” or “What next?” can bring out key events or situations that can help in diagnosis.</w:t>
      </w:r>
    </w:p>
    <w:p w:rsidR="003A16CA" w:rsidRPr="003A16CA" w:rsidRDefault="003A16CA" w:rsidP="003A16CA">
      <w:pPr>
        <w:numPr>
          <w:ilvl w:val="0"/>
          <w:numId w:val="3"/>
        </w:numPr>
        <w:shd w:val="clear" w:color="auto" w:fill="FFFFFF"/>
        <w:rPr>
          <w:rFonts w:ascii="inherit" w:eastAsia="Times New Roman" w:hAnsi="inherit" w:cs="Helvetica"/>
          <w:color w:val="222222"/>
          <w:sz w:val="30"/>
          <w:szCs w:val="30"/>
        </w:rPr>
      </w:pPr>
      <w:r w:rsidRPr="003A16CA">
        <w:rPr>
          <w:rFonts w:ascii="inherit" w:eastAsia="Times New Roman" w:hAnsi="inherit" w:cs="Helvetica"/>
          <w:b/>
          <w:bCs/>
          <w:color w:val="222222"/>
          <w:sz w:val="30"/>
          <w:szCs w:val="30"/>
        </w:rPr>
        <w:t>Explore the patient’s perspective:</w:t>
      </w:r>
      <w:r w:rsidRPr="003A16CA">
        <w:rPr>
          <w:rFonts w:ascii="inherit" w:eastAsia="Times New Roman" w:hAnsi="inherit" w:cs="Helvetica"/>
          <w:color w:val="222222"/>
          <w:sz w:val="30"/>
          <w:szCs w:val="30"/>
        </w:rPr>
        <w:t> This technique is taught using VIEW, which is understanding how the patient’s illness disrupts </w:t>
      </w:r>
      <w:r w:rsidRPr="003A16CA">
        <w:rPr>
          <w:rFonts w:ascii="inherit" w:eastAsia="Times New Roman" w:hAnsi="inherit" w:cs="Helvetica"/>
          <w:b/>
          <w:bCs/>
          <w:color w:val="222222"/>
          <w:sz w:val="30"/>
          <w:szCs w:val="30"/>
        </w:rPr>
        <w:t>V</w:t>
      </w:r>
      <w:r w:rsidRPr="003A16CA">
        <w:rPr>
          <w:rFonts w:ascii="inherit" w:eastAsia="Times New Roman" w:hAnsi="inherit" w:cs="Helvetica"/>
          <w:color w:val="222222"/>
          <w:sz w:val="30"/>
          <w:szCs w:val="30"/>
        </w:rPr>
        <w:t>ital activities, eliciting the patient’s </w:t>
      </w:r>
      <w:r w:rsidRPr="003A16CA">
        <w:rPr>
          <w:rFonts w:ascii="inherit" w:eastAsia="Times New Roman" w:hAnsi="inherit" w:cs="Helvetica"/>
          <w:b/>
          <w:bCs/>
          <w:color w:val="222222"/>
          <w:sz w:val="30"/>
          <w:szCs w:val="30"/>
        </w:rPr>
        <w:t>I</w:t>
      </w:r>
      <w:r w:rsidRPr="003A16CA">
        <w:rPr>
          <w:rFonts w:ascii="inherit" w:eastAsia="Times New Roman" w:hAnsi="inherit" w:cs="Helvetica"/>
          <w:color w:val="222222"/>
          <w:sz w:val="30"/>
          <w:szCs w:val="30"/>
        </w:rPr>
        <w:t>deas about what is wrong with them, finding out what their </w:t>
      </w:r>
      <w:r w:rsidRPr="003A16CA">
        <w:rPr>
          <w:rFonts w:ascii="inherit" w:eastAsia="Times New Roman" w:hAnsi="inherit" w:cs="Helvetica"/>
          <w:b/>
          <w:bCs/>
          <w:color w:val="222222"/>
          <w:sz w:val="30"/>
          <w:szCs w:val="30"/>
        </w:rPr>
        <w:t>E</w:t>
      </w:r>
      <w:r w:rsidRPr="003A16CA">
        <w:rPr>
          <w:rFonts w:ascii="inherit" w:eastAsia="Times New Roman" w:hAnsi="inherit" w:cs="Helvetica"/>
          <w:color w:val="222222"/>
          <w:sz w:val="30"/>
          <w:szCs w:val="30"/>
        </w:rPr>
        <w:t>xpectations are and understanding their </w:t>
      </w:r>
      <w:r w:rsidRPr="003A16CA">
        <w:rPr>
          <w:rFonts w:ascii="inherit" w:eastAsia="Times New Roman" w:hAnsi="inherit" w:cs="Helvetica"/>
          <w:b/>
          <w:bCs/>
          <w:color w:val="222222"/>
          <w:sz w:val="30"/>
          <w:szCs w:val="30"/>
        </w:rPr>
        <w:t>W</w:t>
      </w:r>
      <w:r w:rsidRPr="003A16CA">
        <w:rPr>
          <w:rFonts w:ascii="inherit" w:eastAsia="Times New Roman" w:hAnsi="inherit" w:cs="Helvetica"/>
          <w:color w:val="222222"/>
          <w:sz w:val="30"/>
          <w:szCs w:val="30"/>
        </w:rPr>
        <w:t>orries.</w:t>
      </w:r>
    </w:p>
    <w:p w:rsidR="003A16CA" w:rsidRPr="003A16CA" w:rsidRDefault="003A16CA" w:rsidP="003A16CA">
      <w:pPr>
        <w:shd w:val="clear" w:color="auto" w:fill="FFFFFF"/>
        <w:spacing w:line="570" w:lineRule="atLeast"/>
        <w:outlineLvl w:val="2"/>
        <w:rPr>
          <w:rFonts w:ascii="Georgia" w:eastAsia="Times New Roman" w:hAnsi="Georgia" w:cs="Helvetica"/>
          <w:color w:val="222222"/>
          <w:sz w:val="51"/>
          <w:szCs w:val="51"/>
        </w:rPr>
      </w:pPr>
      <w:r w:rsidRPr="003A16CA">
        <w:rPr>
          <w:rFonts w:ascii="Georgia" w:eastAsia="Times New Roman" w:hAnsi="Georgia" w:cs="Helvetica"/>
          <w:color w:val="222222"/>
          <w:sz w:val="51"/>
          <w:szCs w:val="51"/>
        </w:rPr>
        <w:t>Engage the relationship</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The final phase of the REDE model involves the education and treatment portion of the patient visit. Engaging the patient in dialogue rather than in monologue can enhance health outcomes by improving patients’ comprehension, recall, capacity to give informed consent, self-efficacy, treatment adherence and self-management of chronic illness.</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Physicians are urged to share with patients their diagnosis and detailed information about their condition, collaboratively develop a plan through dialogue, provide closure through ending the visit with a review and conveying respect for the patient’s honesty and participation throughout the visit.</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Though further study is needed to cultivate the sustainability of the REDE model’s ability to increase patient satisfaction scores and reduce physician burnout, the developers of the program say they believe enhancing the patient-physician relationship will improve patients’ health outcomes and doctors’ well-being</w:t>
      </w:r>
    </w:p>
    <w:p w:rsidR="003A16CA" w:rsidRPr="003A16CA" w:rsidRDefault="003A16CA" w:rsidP="003A16C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3A16CA">
        <w:rPr>
          <w:rFonts w:ascii="Helvetica" w:eastAsia="Times New Roman" w:hAnsi="Helvetica" w:cs="Helvetica"/>
          <w:color w:val="222222"/>
          <w:sz w:val="30"/>
          <w:szCs w:val="30"/>
        </w:rPr>
        <w:t>The “</w:t>
      </w:r>
      <w:hyperlink r:id="rId11" w:history="1">
        <w:r w:rsidRPr="003A16CA">
          <w:rPr>
            <w:rFonts w:ascii="Helvetica" w:eastAsia="Times New Roman" w:hAnsi="Helvetica" w:cs="Helvetica"/>
            <w:color w:val="02AAEC"/>
            <w:sz w:val="30"/>
            <w:szCs w:val="30"/>
            <w:u w:val="single"/>
          </w:rPr>
          <w:t>Listening with empathy</w:t>
        </w:r>
      </w:hyperlink>
      <w:r w:rsidRPr="003A16CA">
        <w:rPr>
          <w:rFonts w:ascii="Helvetica" w:eastAsia="Times New Roman" w:hAnsi="Helvetica" w:cs="Helvetica"/>
          <w:color w:val="222222"/>
          <w:sz w:val="30"/>
          <w:szCs w:val="30"/>
        </w:rPr>
        <w:t>” module, part of the AMA’s </w:t>
      </w:r>
      <w:hyperlink r:id="rId12" w:history="1">
        <w:r w:rsidRPr="003A16CA">
          <w:rPr>
            <w:rFonts w:ascii="Helvetica" w:eastAsia="Times New Roman" w:hAnsi="Helvetica" w:cs="Helvetica"/>
            <w:color w:val="02AAEC"/>
            <w:sz w:val="30"/>
            <w:szCs w:val="30"/>
            <w:u w:val="single"/>
          </w:rPr>
          <w:t>STEPS Forward</w:t>
        </w:r>
      </w:hyperlink>
      <w:r w:rsidRPr="003A16CA">
        <w:rPr>
          <w:rFonts w:ascii="Helvetica" w:eastAsia="Times New Roman" w:hAnsi="Helvetica" w:cs="Helvetica"/>
          <w:color w:val="222222"/>
          <w:sz w:val="30"/>
          <w:szCs w:val="30"/>
        </w:rPr>
        <w:t xml:space="preserve">™ collection of practice improvement strategies, offers more on effective patient-physician communication. There are seven new modules available in STEPS Forward collection, bringing the total number of practice improvement strategies to 42. Several of the </w:t>
      </w:r>
      <w:r w:rsidRPr="003A16CA">
        <w:rPr>
          <w:rFonts w:ascii="Helvetica" w:eastAsia="Times New Roman" w:hAnsi="Helvetica" w:cs="Helvetica"/>
          <w:color w:val="222222"/>
          <w:sz w:val="30"/>
          <w:szCs w:val="30"/>
        </w:rPr>
        <w:lastRenderedPageBreak/>
        <w:t>modules were developed thanks to a grant from, and collaboration with, the </w:t>
      </w:r>
      <w:hyperlink r:id="rId13" w:tgtFrame="_blank" w:history="1">
        <w:r w:rsidRPr="003A16CA">
          <w:rPr>
            <w:rFonts w:ascii="Helvetica" w:eastAsia="Times New Roman" w:hAnsi="Helvetica" w:cs="Helvetica"/>
            <w:color w:val="02AAEC"/>
            <w:sz w:val="30"/>
            <w:szCs w:val="30"/>
            <w:u w:val="single"/>
          </w:rPr>
          <w:t>Transforming Clinical Practices Initiative</w:t>
        </w:r>
      </w:hyperlink>
      <w:r w:rsidRPr="003A16CA">
        <w:rPr>
          <w:rFonts w:ascii="Helvetica" w:eastAsia="Times New Roman" w:hAnsi="Helvetica" w:cs="Helvetica"/>
          <w:color w:val="222222"/>
          <w:sz w:val="30"/>
          <w:szCs w:val="30"/>
        </w:rPr>
        <w:t>.</w:t>
      </w:r>
    </w:p>
    <w:p w:rsidR="00622F7D" w:rsidRDefault="00622F7D">
      <w:bookmarkStart w:id="0" w:name="_GoBack"/>
      <w:bookmarkEnd w:id="0"/>
    </w:p>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0A11"/>
    <w:multiLevelType w:val="multilevel"/>
    <w:tmpl w:val="D20E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3767F"/>
    <w:multiLevelType w:val="multilevel"/>
    <w:tmpl w:val="76DC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38F1"/>
    <w:multiLevelType w:val="multilevel"/>
    <w:tmpl w:val="63D4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CA"/>
    <w:rsid w:val="003A16CA"/>
    <w:rsid w:val="0062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1215D-14ED-4B9E-A8FE-BBB7E97B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6C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A16C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6CA"/>
    <w:rPr>
      <w:rFonts w:eastAsia="Times New Roman" w:cs="Times New Roman"/>
      <w:b/>
      <w:bCs/>
      <w:sz w:val="36"/>
      <w:szCs w:val="36"/>
    </w:rPr>
  </w:style>
  <w:style w:type="character" w:customStyle="1" w:styleId="Heading3Char">
    <w:name w:val="Heading 3 Char"/>
    <w:basedOn w:val="DefaultParagraphFont"/>
    <w:link w:val="Heading3"/>
    <w:uiPriority w:val="9"/>
    <w:rsid w:val="003A16CA"/>
    <w:rPr>
      <w:rFonts w:eastAsia="Times New Roman" w:cs="Times New Roman"/>
      <w:b/>
      <w:bCs/>
      <w:sz w:val="27"/>
      <w:szCs w:val="27"/>
    </w:rPr>
  </w:style>
  <w:style w:type="character" w:styleId="Hyperlink">
    <w:name w:val="Hyperlink"/>
    <w:basedOn w:val="DefaultParagraphFont"/>
    <w:uiPriority w:val="99"/>
    <w:semiHidden/>
    <w:unhideWhenUsed/>
    <w:rsid w:val="003A16CA"/>
    <w:rPr>
      <w:color w:val="0000FF"/>
      <w:u w:val="single"/>
    </w:rPr>
  </w:style>
  <w:style w:type="character" w:customStyle="1" w:styleId="apple-converted-space">
    <w:name w:val="apple-converted-space"/>
    <w:basedOn w:val="DefaultParagraphFont"/>
    <w:rsid w:val="003A16CA"/>
  </w:style>
  <w:style w:type="paragraph" w:styleId="NormalWeb">
    <w:name w:val="Normal (Web)"/>
    <w:basedOn w:val="Normal"/>
    <w:uiPriority w:val="99"/>
    <w:semiHidden/>
    <w:unhideWhenUsed/>
    <w:rsid w:val="003A16CA"/>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A16CA"/>
    <w:rPr>
      <w:i/>
      <w:iCs/>
    </w:rPr>
  </w:style>
  <w:style w:type="character" w:styleId="Strong">
    <w:name w:val="Strong"/>
    <w:basedOn w:val="DefaultParagraphFont"/>
    <w:uiPriority w:val="22"/>
    <w:qFormat/>
    <w:rsid w:val="003A16CA"/>
    <w:rPr>
      <w:b/>
      <w:bCs/>
    </w:rPr>
  </w:style>
  <w:style w:type="paragraph" w:styleId="BalloonText">
    <w:name w:val="Balloon Text"/>
    <w:basedOn w:val="Normal"/>
    <w:link w:val="BalloonTextChar"/>
    <w:uiPriority w:val="99"/>
    <w:semiHidden/>
    <w:unhideWhenUsed/>
    <w:rsid w:val="003A1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5441">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5">
          <w:marLeft w:val="0"/>
          <w:marRight w:val="0"/>
          <w:marTop w:val="0"/>
          <w:marBottom w:val="0"/>
          <w:divBdr>
            <w:top w:val="none" w:sz="0" w:space="0" w:color="auto"/>
            <w:left w:val="none" w:sz="0" w:space="0" w:color="auto"/>
            <w:bottom w:val="none" w:sz="0" w:space="0" w:color="auto"/>
            <w:right w:val="none" w:sz="0" w:space="0" w:color="auto"/>
          </w:divBdr>
          <w:divsChild>
            <w:div w:id="15737614">
              <w:marLeft w:val="0"/>
              <w:marRight w:val="0"/>
              <w:marTop w:val="0"/>
              <w:marBottom w:val="0"/>
              <w:divBdr>
                <w:top w:val="none" w:sz="0" w:space="0" w:color="auto"/>
                <w:left w:val="none" w:sz="0" w:space="0" w:color="auto"/>
                <w:bottom w:val="none" w:sz="0" w:space="0" w:color="auto"/>
                <w:right w:val="none" w:sz="0" w:space="0" w:color="auto"/>
              </w:divBdr>
              <w:divsChild>
                <w:div w:id="618220366">
                  <w:marLeft w:val="0"/>
                  <w:marRight w:val="0"/>
                  <w:marTop w:val="0"/>
                  <w:marBottom w:val="0"/>
                  <w:divBdr>
                    <w:top w:val="none" w:sz="0" w:space="0" w:color="auto"/>
                    <w:left w:val="none" w:sz="0" w:space="0" w:color="auto"/>
                    <w:bottom w:val="none" w:sz="0" w:space="0" w:color="auto"/>
                    <w:right w:val="none" w:sz="0" w:space="0" w:color="auto"/>
                  </w:divBdr>
                </w:div>
                <w:div w:id="2065639462">
                  <w:marLeft w:val="0"/>
                  <w:marRight w:val="0"/>
                  <w:marTop w:val="0"/>
                  <w:marBottom w:val="0"/>
                  <w:divBdr>
                    <w:top w:val="none" w:sz="0" w:space="0" w:color="auto"/>
                    <w:left w:val="none" w:sz="0" w:space="0" w:color="auto"/>
                    <w:bottom w:val="none" w:sz="0" w:space="0" w:color="auto"/>
                    <w:right w:val="none" w:sz="0" w:space="0" w:color="auto"/>
                  </w:divBdr>
                </w:div>
                <w:div w:id="1501118214">
                  <w:marLeft w:val="0"/>
                  <w:marRight w:val="0"/>
                  <w:marTop w:val="0"/>
                  <w:marBottom w:val="0"/>
                  <w:divBdr>
                    <w:top w:val="none" w:sz="0" w:space="0" w:color="auto"/>
                    <w:left w:val="none" w:sz="0" w:space="0" w:color="auto"/>
                    <w:bottom w:val="single" w:sz="6" w:space="15" w:color="A1A1A4"/>
                    <w:right w:val="none" w:sz="0" w:space="0" w:color="auto"/>
                  </w:divBdr>
                </w:div>
                <w:div w:id="829057782">
                  <w:marLeft w:val="0"/>
                  <w:marRight w:val="0"/>
                  <w:marTop w:val="0"/>
                  <w:marBottom w:val="300"/>
                  <w:divBdr>
                    <w:top w:val="none" w:sz="0" w:space="0" w:color="auto"/>
                    <w:left w:val="none" w:sz="0" w:space="0" w:color="auto"/>
                    <w:bottom w:val="single" w:sz="6" w:space="15" w:color="A1A1A4"/>
                    <w:right w:val="none" w:sz="0" w:space="0" w:color="auto"/>
                  </w:divBdr>
                  <w:divsChild>
                    <w:div w:id="153827077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933711442">
                              <w:marLeft w:val="0"/>
                              <w:marRight w:val="0"/>
                              <w:marTop w:val="0"/>
                              <w:marBottom w:val="0"/>
                              <w:divBdr>
                                <w:top w:val="none" w:sz="0" w:space="0" w:color="auto"/>
                                <w:left w:val="none" w:sz="0" w:space="0" w:color="auto"/>
                                <w:bottom w:val="none" w:sz="0" w:space="0" w:color="auto"/>
                                <w:right w:val="none" w:sz="0" w:space="0" w:color="auto"/>
                              </w:divBdr>
                              <w:divsChild>
                                <w:div w:id="112604535">
                                  <w:marLeft w:val="0"/>
                                  <w:marRight w:val="0"/>
                                  <w:marTop w:val="0"/>
                                  <w:marBottom w:val="0"/>
                                  <w:divBdr>
                                    <w:top w:val="none" w:sz="0" w:space="0" w:color="auto"/>
                                    <w:left w:val="none" w:sz="0" w:space="0" w:color="auto"/>
                                    <w:bottom w:val="none" w:sz="0" w:space="0" w:color="auto"/>
                                    <w:right w:val="none" w:sz="0" w:space="0" w:color="auto"/>
                                  </w:divBdr>
                                  <w:divsChild>
                                    <w:div w:id="16564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8857">
                              <w:marLeft w:val="0"/>
                              <w:marRight w:val="0"/>
                              <w:marTop w:val="0"/>
                              <w:marBottom w:val="0"/>
                              <w:divBdr>
                                <w:top w:val="none" w:sz="0" w:space="0" w:color="auto"/>
                                <w:left w:val="none" w:sz="0" w:space="0" w:color="auto"/>
                                <w:bottom w:val="none" w:sz="0" w:space="0" w:color="auto"/>
                                <w:right w:val="none" w:sz="0" w:space="0" w:color="auto"/>
                              </w:divBdr>
                              <w:divsChild>
                                <w:div w:id="1008409633">
                                  <w:marLeft w:val="0"/>
                                  <w:marRight w:val="0"/>
                                  <w:marTop w:val="0"/>
                                  <w:marBottom w:val="0"/>
                                  <w:divBdr>
                                    <w:top w:val="none" w:sz="0" w:space="0" w:color="auto"/>
                                    <w:left w:val="none" w:sz="0" w:space="0" w:color="auto"/>
                                    <w:bottom w:val="none" w:sz="0" w:space="0" w:color="auto"/>
                                    <w:right w:val="none" w:sz="0" w:space="0" w:color="auto"/>
                                  </w:divBdr>
                                  <w:divsChild>
                                    <w:div w:id="1008293325">
                                      <w:marLeft w:val="0"/>
                                      <w:marRight w:val="0"/>
                                      <w:marTop w:val="0"/>
                                      <w:marBottom w:val="0"/>
                                      <w:divBdr>
                                        <w:top w:val="none" w:sz="0" w:space="0" w:color="auto"/>
                                        <w:left w:val="none" w:sz="0" w:space="0" w:color="auto"/>
                                        <w:bottom w:val="none" w:sz="0" w:space="0" w:color="auto"/>
                                        <w:right w:val="none" w:sz="0" w:space="0" w:color="auto"/>
                                      </w:divBdr>
                                    </w:div>
                                  </w:divsChild>
                                </w:div>
                                <w:div w:id="1080903912">
                                  <w:marLeft w:val="0"/>
                                  <w:marRight w:val="0"/>
                                  <w:marTop w:val="0"/>
                                  <w:marBottom w:val="0"/>
                                  <w:divBdr>
                                    <w:top w:val="none" w:sz="0" w:space="0" w:color="auto"/>
                                    <w:left w:val="none" w:sz="0" w:space="0" w:color="auto"/>
                                    <w:bottom w:val="none" w:sz="0" w:space="0" w:color="auto"/>
                                    <w:right w:val="none" w:sz="0" w:space="0" w:color="auto"/>
                                  </w:divBdr>
                                  <w:divsChild>
                                    <w:div w:id="859928312">
                                      <w:marLeft w:val="0"/>
                                      <w:marRight w:val="0"/>
                                      <w:marTop w:val="0"/>
                                      <w:marBottom w:val="0"/>
                                      <w:divBdr>
                                        <w:top w:val="none" w:sz="0" w:space="0" w:color="auto"/>
                                        <w:left w:val="none" w:sz="0" w:space="0" w:color="auto"/>
                                        <w:bottom w:val="none" w:sz="0" w:space="0" w:color="auto"/>
                                        <w:right w:val="none" w:sz="0" w:space="0" w:color="auto"/>
                                      </w:divBdr>
                                    </w:div>
                                  </w:divsChild>
                                </w:div>
                                <w:div w:id="1222712993">
                                  <w:marLeft w:val="0"/>
                                  <w:marRight w:val="0"/>
                                  <w:marTop w:val="0"/>
                                  <w:marBottom w:val="0"/>
                                  <w:divBdr>
                                    <w:top w:val="none" w:sz="0" w:space="0" w:color="auto"/>
                                    <w:left w:val="none" w:sz="0" w:space="0" w:color="auto"/>
                                    <w:bottom w:val="none" w:sz="0" w:space="0" w:color="auto"/>
                                    <w:right w:val="none" w:sz="0" w:space="0" w:color="auto"/>
                                  </w:divBdr>
                                  <w:divsChild>
                                    <w:div w:id="258686949">
                                      <w:marLeft w:val="0"/>
                                      <w:marRight w:val="0"/>
                                      <w:marTop w:val="0"/>
                                      <w:marBottom w:val="0"/>
                                      <w:divBdr>
                                        <w:top w:val="none" w:sz="0" w:space="0" w:color="auto"/>
                                        <w:left w:val="none" w:sz="0" w:space="0" w:color="auto"/>
                                        <w:bottom w:val="none" w:sz="0" w:space="0" w:color="auto"/>
                                        <w:right w:val="none" w:sz="0" w:space="0" w:color="auto"/>
                                      </w:divBdr>
                                    </w:div>
                                  </w:divsChild>
                                </w:div>
                                <w:div w:id="699277469">
                                  <w:marLeft w:val="0"/>
                                  <w:marRight w:val="0"/>
                                  <w:marTop w:val="0"/>
                                  <w:marBottom w:val="0"/>
                                  <w:divBdr>
                                    <w:top w:val="none" w:sz="0" w:space="0" w:color="auto"/>
                                    <w:left w:val="none" w:sz="0" w:space="0" w:color="auto"/>
                                    <w:bottom w:val="none" w:sz="0" w:space="0" w:color="auto"/>
                                    <w:right w:val="none" w:sz="0" w:space="0" w:color="auto"/>
                                  </w:divBdr>
                                  <w:divsChild>
                                    <w:div w:id="94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359767">
          <w:marLeft w:val="0"/>
          <w:marRight w:val="0"/>
          <w:marTop w:val="0"/>
          <w:marBottom w:val="0"/>
          <w:divBdr>
            <w:top w:val="none" w:sz="0" w:space="0" w:color="auto"/>
            <w:left w:val="none" w:sz="0" w:space="0" w:color="auto"/>
            <w:bottom w:val="none" w:sz="0" w:space="0" w:color="auto"/>
            <w:right w:val="none" w:sz="0" w:space="0" w:color="auto"/>
          </w:divBdr>
          <w:divsChild>
            <w:div w:id="1253199428">
              <w:marLeft w:val="0"/>
              <w:marRight w:val="0"/>
              <w:marTop w:val="0"/>
              <w:marBottom w:val="0"/>
              <w:divBdr>
                <w:top w:val="none" w:sz="0" w:space="0" w:color="auto"/>
                <w:left w:val="none" w:sz="0" w:space="0" w:color="auto"/>
                <w:bottom w:val="none" w:sz="0" w:space="0" w:color="auto"/>
                <w:right w:val="none" w:sz="0" w:space="0" w:color="auto"/>
              </w:divBdr>
              <w:divsChild>
                <w:div w:id="2060936303">
                  <w:marLeft w:val="0"/>
                  <w:marRight w:val="0"/>
                  <w:marTop w:val="0"/>
                  <w:marBottom w:val="0"/>
                  <w:divBdr>
                    <w:top w:val="none" w:sz="0" w:space="0" w:color="auto"/>
                    <w:left w:val="none" w:sz="0" w:space="0" w:color="auto"/>
                    <w:bottom w:val="none" w:sz="0" w:space="0" w:color="auto"/>
                    <w:right w:val="none" w:sz="0" w:space="0" w:color="auto"/>
                  </w:divBdr>
                </w:div>
                <w:div w:id="140001767">
                  <w:marLeft w:val="0"/>
                  <w:marRight w:val="0"/>
                  <w:marTop w:val="0"/>
                  <w:marBottom w:val="0"/>
                  <w:divBdr>
                    <w:top w:val="none" w:sz="0" w:space="0" w:color="auto"/>
                    <w:left w:val="none" w:sz="0" w:space="0" w:color="auto"/>
                    <w:bottom w:val="none" w:sz="0" w:space="0" w:color="auto"/>
                    <w:right w:val="none" w:sz="0" w:space="0" w:color="auto"/>
                  </w:divBdr>
                  <w:divsChild>
                    <w:div w:id="4592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5921">
              <w:marLeft w:val="0"/>
              <w:marRight w:val="0"/>
              <w:marTop w:val="0"/>
              <w:marBottom w:val="0"/>
              <w:divBdr>
                <w:top w:val="none" w:sz="0" w:space="0" w:color="auto"/>
                <w:left w:val="none" w:sz="0" w:space="0" w:color="auto"/>
                <w:bottom w:val="none" w:sz="0" w:space="0" w:color="auto"/>
                <w:right w:val="none" w:sz="0" w:space="0" w:color="auto"/>
              </w:divBdr>
              <w:divsChild>
                <w:div w:id="827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roy_AMAWire" TargetMode="External"/><Relationship Id="rId13" Type="http://schemas.openxmlformats.org/officeDocument/2006/relationships/hyperlink" Target="https://innovation.cms.gov/initiatives/Transforming-Clinical-Practices/" TargetMode="External"/><Relationship Id="rId3" Type="http://schemas.openxmlformats.org/officeDocument/2006/relationships/settings" Target="settings.xml"/><Relationship Id="rId7" Type="http://schemas.openxmlformats.org/officeDocument/2006/relationships/hyperlink" Target="https://wire.ama-assn.org/users/troy-parks" TargetMode="External"/><Relationship Id="rId12" Type="http://schemas.openxmlformats.org/officeDocument/2006/relationships/hyperlink" Target="https://www.steps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tepsforward.org/modules/empathetic-listening" TargetMode="External"/><Relationship Id="rId5" Type="http://schemas.openxmlformats.org/officeDocument/2006/relationships/hyperlink" Target="https://wire.ama-assn.org/users/troy-parks#profile-main" TargetMode="External"/><Relationship Id="rId15" Type="http://schemas.openxmlformats.org/officeDocument/2006/relationships/theme" Target="theme/theme1.xml"/><Relationship Id="rId10" Type="http://schemas.openxmlformats.org/officeDocument/2006/relationships/hyperlink" Target="http://www.patient-experience.org/PDFs/The-REDE-Model-of-Healthcare-Communication.aspx" TargetMode="External"/><Relationship Id="rId4" Type="http://schemas.openxmlformats.org/officeDocument/2006/relationships/webSettings" Target="webSettings.xml"/><Relationship Id="rId9" Type="http://schemas.openxmlformats.org/officeDocument/2006/relationships/hyperlink" Target="http://link.springer.com/article/10.1007%2Fs11606-016-359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cp:lastPrinted>2017-02-20T16:22:00Z</cp:lastPrinted>
  <dcterms:created xsi:type="dcterms:W3CDTF">2017-02-20T16:22:00Z</dcterms:created>
  <dcterms:modified xsi:type="dcterms:W3CDTF">2017-02-20T16:23:00Z</dcterms:modified>
</cp:coreProperties>
</file>